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878D7" w14:textId="3C8CCC60" w:rsidR="002B3718" w:rsidRPr="00921939" w:rsidRDefault="002B3718" w:rsidP="001B7C06">
      <w:pPr>
        <w:widowControl w:val="0"/>
        <w:tabs>
          <w:tab w:val="left" w:pos="5853"/>
          <w:tab w:val="left" w:leader="dot" w:pos="8742"/>
        </w:tabs>
        <w:suppressAutoHyphens/>
        <w:autoSpaceDE w:val="0"/>
        <w:autoSpaceDN w:val="0"/>
        <w:spacing w:after="0" w:line="360" w:lineRule="auto"/>
        <w:rPr>
          <w:rFonts w:ascii="Tahoma" w:hAnsi="Tahoma" w:cs="Tahoma"/>
          <w:b/>
          <w:sz w:val="24"/>
          <w:szCs w:val="24"/>
          <w:lang w:eastAsia="ar-SA"/>
        </w:rPr>
      </w:pPr>
      <w:r w:rsidRPr="00921939">
        <w:rPr>
          <w:rFonts w:ascii="Tahoma" w:hAnsi="Tahoma" w:cs="Tahoma"/>
          <w:b/>
          <w:sz w:val="24"/>
          <w:szCs w:val="24"/>
          <w:lang w:eastAsia="ar-SA"/>
        </w:rPr>
        <w:t xml:space="preserve">Załącznik nr </w:t>
      </w:r>
      <w:r w:rsidR="00B610CC" w:rsidRPr="00921939">
        <w:rPr>
          <w:rFonts w:ascii="Tahoma" w:hAnsi="Tahoma" w:cs="Tahoma"/>
          <w:b/>
          <w:sz w:val="24"/>
          <w:szCs w:val="24"/>
          <w:lang w:eastAsia="ar-SA"/>
        </w:rPr>
        <w:t>3</w:t>
      </w:r>
    </w:p>
    <w:p w14:paraId="6D499C47" w14:textId="28935A8C" w:rsidR="0055522E" w:rsidRPr="00BF59B4" w:rsidRDefault="00921939" w:rsidP="001B7C06">
      <w:pPr>
        <w:widowControl w:val="0"/>
        <w:tabs>
          <w:tab w:val="left" w:pos="5853"/>
          <w:tab w:val="left" w:leader="dot" w:pos="8742"/>
        </w:tabs>
        <w:suppressAutoHyphens/>
        <w:autoSpaceDE w:val="0"/>
        <w:autoSpaceDN w:val="0"/>
        <w:spacing w:after="0" w:line="360" w:lineRule="auto"/>
        <w:rPr>
          <w:rFonts w:ascii="Tahoma" w:hAnsi="Tahoma" w:cs="Tahoma"/>
          <w:b/>
          <w:sz w:val="24"/>
          <w:szCs w:val="24"/>
          <w:lang w:eastAsia="ar-SA"/>
        </w:rPr>
      </w:pPr>
      <w:bookmarkStart w:id="0" w:name="_Hlk215132283"/>
      <w:r w:rsidRPr="00921939">
        <w:rPr>
          <w:rFonts w:ascii="Tahoma" w:hAnsi="Tahoma" w:cs="Tahoma"/>
          <w:b/>
          <w:sz w:val="24"/>
          <w:szCs w:val="24"/>
          <w:lang w:eastAsia="ar-SA"/>
        </w:rPr>
        <w:t>Do sprawy</w:t>
      </w:r>
      <w:r w:rsidR="00BF59B4">
        <w:rPr>
          <w:rFonts w:ascii="Tahoma" w:hAnsi="Tahoma" w:cs="Tahoma"/>
          <w:b/>
          <w:sz w:val="24"/>
          <w:szCs w:val="24"/>
          <w:lang w:eastAsia="ar-SA"/>
        </w:rPr>
        <w:t>:</w:t>
      </w:r>
      <w:r w:rsidR="0055522E" w:rsidRPr="00921939">
        <w:rPr>
          <w:rFonts w:ascii="Tahoma" w:hAnsi="Tahoma" w:cs="Tahoma"/>
          <w:b/>
          <w:sz w:val="24"/>
          <w:szCs w:val="24"/>
          <w:lang w:eastAsia="ar-SA"/>
        </w:rPr>
        <w:t xml:space="preserve"> </w:t>
      </w:r>
      <w:bookmarkEnd w:id="0"/>
      <w:r w:rsidR="00BF59B4">
        <w:rPr>
          <w:rFonts w:ascii="Tahoma" w:hAnsi="Tahoma" w:cs="Tahoma"/>
          <w:b/>
          <w:sz w:val="24"/>
          <w:szCs w:val="24"/>
          <w:lang w:eastAsia="ar-SA"/>
        </w:rPr>
        <w:t xml:space="preserve"> </w:t>
      </w:r>
      <w:r w:rsidR="00BF59B4" w:rsidRPr="00BF59B4">
        <w:rPr>
          <w:rFonts w:ascii="Tahoma" w:hAnsi="Tahoma" w:cs="Tahoma"/>
          <w:b/>
          <w:sz w:val="24"/>
          <w:szCs w:val="24"/>
          <w:lang w:eastAsia="ar-SA"/>
        </w:rPr>
        <w:t>DLG-A/495/2025</w:t>
      </w:r>
    </w:p>
    <w:p w14:paraId="064613C1" w14:textId="6297DA0A" w:rsidR="009F7F60" w:rsidRPr="001B7C06" w:rsidRDefault="009F7F60" w:rsidP="001B7C06">
      <w:p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b/>
          <w:bCs/>
          <w:sz w:val="24"/>
          <w:szCs w:val="24"/>
        </w:rPr>
        <w:t xml:space="preserve">INFORMACJE DOTYCZĄCE OCHRONY OSÓB FIZYCZNYCH W ZWIĄZKU Z PRZETWARZANIEM DANYCH OSOBOWYCH  I W SPRAWIE SWOBODNEGO PRZEPŁYWU TAKICH DANYCH </w:t>
      </w:r>
      <w:bookmarkStart w:id="1" w:name="_GoBack"/>
      <w:bookmarkEnd w:id="1"/>
    </w:p>
    <w:p w14:paraId="729F2563" w14:textId="3E807479" w:rsidR="0084374D" w:rsidRPr="001B7C06" w:rsidRDefault="0084374D" w:rsidP="001B7C06">
      <w:pPr>
        <w:numPr>
          <w:ilvl w:val="0"/>
          <w:numId w:val="4"/>
        </w:numPr>
        <w:spacing w:after="0" w:line="360" w:lineRule="auto"/>
        <w:ind w:left="142" w:hanging="709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 xml:space="preserve">Zgodnie z art. 13 ust. 1 i 2 </w:t>
      </w:r>
      <w:r w:rsidR="00404233">
        <w:rPr>
          <w:rFonts w:ascii="Tahoma" w:hAnsi="Tahoma" w:cs="Tahoma"/>
          <w:sz w:val="24"/>
          <w:szCs w:val="24"/>
        </w:rPr>
        <w:t xml:space="preserve">oraz art. 14 </w:t>
      </w:r>
      <w:r w:rsidRPr="001B7C06">
        <w:rPr>
          <w:rFonts w:ascii="Tahoma" w:hAnsi="Tahoma" w:cs="Tahoma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5E6A4332" w14:textId="3E4E6B5F" w:rsidR="0084374D" w:rsidRPr="001B7C06" w:rsidRDefault="0084374D" w:rsidP="001B7C06">
      <w:pPr>
        <w:numPr>
          <w:ilvl w:val="1"/>
          <w:numId w:val="4"/>
        </w:numPr>
        <w:spacing w:after="0" w:line="360" w:lineRule="auto"/>
        <w:ind w:left="142" w:hanging="709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>administratorem Pani/Pana danych osobowych jest Uniwersytet Medyczny w Lublinie, Al. Racławickie 1, 20-059 Lublin, NIP: 712-01-06-911, REGON: 000288716, tel. : +48 81 448 50 00, z którym kontakt możliwy jest pod adresem e-mail: </w:t>
      </w:r>
      <w:hyperlink r:id="rId10" w:history="1">
        <w:r w:rsidR="00A83564" w:rsidRPr="001B7C06">
          <w:rPr>
            <w:rStyle w:val="Hipercze"/>
            <w:rFonts w:ascii="Tahoma" w:hAnsi="Tahoma" w:cs="Tahoma"/>
            <w:sz w:val="24"/>
            <w:szCs w:val="24"/>
          </w:rPr>
          <w:t>biuro.rektora@umlub.edu.pl</w:t>
        </w:r>
      </w:hyperlink>
      <w:r w:rsidRPr="001B7C06">
        <w:rPr>
          <w:rFonts w:ascii="Tahoma" w:hAnsi="Tahoma" w:cs="Tahoma"/>
          <w:sz w:val="24"/>
          <w:szCs w:val="24"/>
        </w:rPr>
        <w:t>,</w:t>
      </w:r>
    </w:p>
    <w:p w14:paraId="2DA0B54C" w14:textId="375A4858" w:rsidR="0084374D" w:rsidRPr="001B7C06" w:rsidRDefault="0084374D" w:rsidP="001B7C06">
      <w:pPr>
        <w:numPr>
          <w:ilvl w:val="1"/>
          <w:numId w:val="4"/>
        </w:numPr>
        <w:spacing w:after="0" w:line="360" w:lineRule="auto"/>
        <w:ind w:left="142" w:hanging="709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>z inspektorem ochrony danych osobowych w Uniwersytecie Medycznym w Lublinie można skontaktować się pod adresem e-mail</w:t>
      </w:r>
      <w:r w:rsidRPr="001B7C06">
        <w:rPr>
          <w:rFonts w:ascii="Tahoma" w:eastAsiaTheme="minorHAnsi" w:hAnsi="Tahoma" w:cs="Tahoma"/>
          <w:sz w:val="24"/>
          <w:szCs w:val="24"/>
        </w:rPr>
        <w:t xml:space="preserve"> </w:t>
      </w:r>
      <w:r w:rsidRPr="001B7C06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="00A83564" w:rsidRPr="001B7C06">
          <w:rPr>
            <w:rStyle w:val="Hipercze"/>
            <w:rFonts w:ascii="Tahoma" w:hAnsi="Tahoma" w:cs="Tahoma"/>
            <w:sz w:val="24"/>
            <w:szCs w:val="24"/>
          </w:rPr>
          <w:t>iod@umlub.edu.pl</w:t>
        </w:r>
      </w:hyperlink>
      <w:r w:rsidRPr="001B7C06">
        <w:rPr>
          <w:rFonts w:ascii="Tahoma" w:hAnsi="Tahoma" w:cs="Tahoma"/>
          <w:sz w:val="24"/>
          <w:szCs w:val="24"/>
        </w:rPr>
        <w:t>;</w:t>
      </w:r>
    </w:p>
    <w:p w14:paraId="0958002D" w14:textId="77777777" w:rsidR="0084374D" w:rsidRPr="001B7C06" w:rsidRDefault="0084374D" w:rsidP="001B7C06">
      <w:pPr>
        <w:numPr>
          <w:ilvl w:val="1"/>
          <w:numId w:val="4"/>
        </w:numPr>
        <w:spacing w:after="0" w:line="360" w:lineRule="auto"/>
        <w:ind w:left="142" w:hanging="709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>Pani/Pana dane osobowe przetwarzane będą na podstawie art. 6 ust. 1 lit. c RODO w celu związanym z niniejszym postępowaniem o udzielenie zamówienia publicznego ;</w:t>
      </w:r>
    </w:p>
    <w:p w14:paraId="100B707A" w14:textId="77777777" w:rsidR="0084374D" w:rsidRPr="001B7C06" w:rsidRDefault="0084374D" w:rsidP="001B7C06">
      <w:pPr>
        <w:numPr>
          <w:ilvl w:val="1"/>
          <w:numId w:val="4"/>
        </w:numPr>
        <w:spacing w:after="0" w:line="360" w:lineRule="auto"/>
        <w:ind w:left="142" w:hanging="709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 xml:space="preserve">odbiorcami Pani/Pana danych osobowych będą osoby lub podmioty, którym udostępniona zostanie dokumentacja postępowania w oparciu o art. 18 i 74 ustawy </w:t>
      </w:r>
      <w:proofErr w:type="spellStart"/>
      <w:r w:rsidRPr="001B7C06">
        <w:rPr>
          <w:rFonts w:ascii="Tahoma" w:hAnsi="Tahoma" w:cs="Tahoma"/>
          <w:sz w:val="24"/>
          <w:szCs w:val="24"/>
        </w:rPr>
        <w:t>Pzp</w:t>
      </w:r>
      <w:proofErr w:type="spellEnd"/>
      <w:r w:rsidRPr="001B7C06">
        <w:rPr>
          <w:rFonts w:ascii="Tahoma" w:hAnsi="Tahoma" w:cs="Tahoma"/>
          <w:sz w:val="24"/>
          <w:szCs w:val="24"/>
        </w:rPr>
        <w:t>.</w:t>
      </w:r>
    </w:p>
    <w:p w14:paraId="21E6BFA7" w14:textId="77777777" w:rsidR="0084374D" w:rsidRPr="001B7C06" w:rsidRDefault="0084374D" w:rsidP="001B7C06">
      <w:pPr>
        <w:numPr>
          <w:ilvl w:val="1"/>
          <w:numId w:val="4"/>
        </w:numPr>
        <w:spacing w:after="0" w:line="360" w:lineRule="auto"/>
        <w:ind w:left="142" w:hanging="709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 xml:space="preserve">Pani/Pana dane osobowe będą przechowywane, zgodnie z przepisami ustawy </w:t>
      </w:r>
      <w:proofErr w:type="spellStart"/>
      <w:r w:rsidRPr="001B7C06">
        <w:rPr>
          <w:rFonts w:ascii="Tahoma" w:hAnsi="Tahoma" w:cs="Tahoma"/>
          <w:sz w:val="24"/>
          <w:szCs w:val="24"/>
        </w:rPr>
        <w:t>Pzp</w:t>
      </w:r>
      <w:proofErr w:type="spellEnd"/>
      <w:r w:rsidRPr="001B7C06">
        <w:rPr>
          <w:rFonts w:ascii="Tahoma" w:hAnsi="Tahoma" w:cs="Tahoma"/>
          <w:sz w:val="24"/>
          <w:szCs w:val="24"/>
        </w:rPr>
        <w:t>, przez okres 4 lat od dnia zakończenia postępowania o udzielenie zamówienia, nie krótszy jednak niż okres realizacji i utrzymania trwałości efektów projektu, a w przypadku pomocy publicznej nie krócej niż 10 lat od daty przyznania tej pomocy.</w:t>
      </w:r>
    </w:p>
    <w:p w14:paraId="2C534083" w14:textId="77777777" w:rsidR="0084374D" w:rsidRPr="001B7C06" w:rsidRDefault="0084374D" w:rsidP="001B7C06">
      <w:pPr>
        <w:numPr>
          <w:ilvl w:val="1"/>
          <w:numId w:val="4"/>
        </w:numPr>
        <w:spacing w:after="0" w:line="360" w:lineRule="auto"/>
        <w:ind w:left="142" w:hanging="709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B7C06">
        <w:rPr>
          <w:rFonts w:ascii="Tahoma" w:hAnsi="Tahoma" w:cs="Tahoma"/>
          <w:sz w:val="24"/>
          <w:szCs w:val="24"/>
        </w:rPr>
        <w:t>Pzp</w:t>
      </w:r>
      <w:proofErr w:type="spellEnd"/>
      <w:r w:rsidRPr="001B7C06">
        <w:rPr>
          <w:rFonts w:ascii="Tahoma" w:hAnsi="Tahoma" w:cs="Tahoma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B7C06">
        <w:rPr>
          <w:rFonts w:ascii="Tahoma" w:hAnsi="Tahoma" w:cs="Tahoma"/>
          <w:sz w:val="24"/>
          <w:szCs w:val="24"/>
        </w:rPr>
        <w:t>Pzp</w:t>
      </w:r>
      <w:proofErr w:type="spellEnd"/>
      <w:r w:rsidRPr="001B7C06">
        <w:rPr>
          <w:rFonts w:ascii="Tahoma" w:hAnsi="Tahoma" w:cs="Tahoma"/>
          <w:sz w:val="24"/>
          <w:szCs w:val="24"/>
        </w:rPr>
        <w:t xml:space="preserve">;  </w:t>
      </w:r>
    </w:p>
    <w:p w14:paraId="10DEA913" w14:textId="77777777" w:rsidR="0084374D" w:rsidRPr="001B7C06" w:rsidRDefault="0084374D" w:rsidP="001B7C06">
      <w:pPr>
        <w:numPr>
          <w:ilvl w:val="1"/>
          <w:numId w:val="4"/>
        </w:numPr>
        <w:spacing w:after="0" w:line="360" w:lineRule="auto"/>
        <w:ind w:left="142" w:hanging="709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lastRenderedPageBreak/>
        <w:t>w odniesieniu do Pani/Pana danych osobowych decyzje nie będą podejmowane w sposób zautomatyzowany, stosowanie do art. 22 RODO;</w:t>
      </w:r>
    </w:p>
    <w:p w14:paraId="4908FC51" w14:textId="77777777" w:rsidR="0084374D" w:rsidRPr="001B7C06" w:rsidRDefault="0084374D" w:rsidP="001B7C06">
      <w:pPr>
        <w:numPr>
          <w:ilvl w:val="1"/>
          <w:numId w:val="4"/>
        </w:numPr>
        <w:spacing w:after="0" w:line="360" w:lineRule="auto"/>
        <w:ind w:left="142" w:hanging="709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>posiada Pani/Pan:</w:t>
      </w:r>
    </w:p>
    <w:p w14:paraId="78C49507" w14:textId="5CCF6A2F" w:rsidR="0084374D" w:rsidRPr="001B7C06" w:rsidRDefault="0055522E" w:rsidP="001B7C06">
      <w:pPr>
        <w:spacing w:after="0" w:line="360" w:lineRule="auto"/>
        <w:ind w:left="142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 xml:space="preserve">- </w:t>
      </w:r>
      <w:r w:rsidR="0084374D" w:rsidRPr="001B7C06">
        <w:rPr>
          <w:rFonts w:ascii="Tahoma" w:hAnsi="Tahoma" w:cs="Tahoma"/>
          <w:sz w:val="24"/>
          <w:szCs w:val="24"/>
        </w:rPr>
        <w:t>na podstawie art. 15 RODO prawo dostępu do danych osobowych Pani/Pana dotyczących;</w:t>
      </w:r>
    </w:p>
    <w:p w14:paraId="28961313" w14:textId="7FAADF25" w:rsidR="0084374D" w:rsidRPr="001B7C06" w:rsidRDefault="0055522E" w:rsidP="001B7C06">
      <w:pPr>
        <w:spacing w:after="0" w:line="360" w:lineRule="auto"/>
        <w:ind w:left="142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 xml:space="preserve">- </w:t>
      </w:r>
      <w:r w:rsidR="0084374D" w:rsidRPr="001B7C06">
        <w:rPr>
          <w:rFonts w:ascii="Tahoma" w:hAnsi="Tahoma" w:cs="Tahoma"/>
          <w:sz w:val="24"/>
          <w:szCs w:val="24"/>
        </w:rPr>
        <w:t>na podstawie art. 16 RODO prawo do sprostowania Pani/Pana danych osobowych (</w:t>
      </w:r>
      <w:r w:rsidR="0084374D" w:rsidRPr="001B7C06">
        <w:rPr>
          <w:rFonts w:ascii="Tahoma" w:hAnsi="Tahoma" w:cs="Tahoma"/>
          <w:i/>
          <w:iCs/>
          <w:sz w:val="24"/>
          <w:szCs w:val="24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="0084374D" w:rsidRPr="001B7C06">
        <w:rPr>
          <w:rFonts w:ascii="Tahoma" w:hAnsi="Tahoma" w:cs="Tahoma"/>
          <w:i/>
          <w:iCs/>
          <w:sz w:val="24"/>
          <w:szCs w:val="24"/>
        </w:rPr>
        <w:t>Pzp</w:t>
      </w:r>
      <w:proofErr w:type="spellEnd"/>
      <w:r w:rsidR="0084374D" w:rsidRPr="001B7C06">
        <w:rPr>
          <w:rFonts w:ascii="Tahoma" w:hAnsi="Tahoma" w:cs="Tahoma"/>
          <w:i/>
          <w:iCs/>
          <w:sz w:val="24"/>
          <w:szCs w:val="24"/>
        </w:rPr>
        <w:t xml:space="preserve"> oraz nie może naruszać integralności protokołu oraz jego załączników)</w:t>
      </w:r>
      <w:r w:rsidR="0084374D" w:rsidRPr="001B7C06">
        <w:rPr>
          <w:rFonts w:ascii="Tahoma" w:hAnsi="Tahoma" w:cs="Tahoma"/>
          <w:sz w:val="24"/>
          <w:szCs w:val="24"/>
        </w:rPr>
        <w:t>;</w:t>
      </w:r>
    </w:p>
    <w:p w14:paraId="2066782D" w14:textId="756D0BD4" w:rsidR="0084374D" w:rsidRPr="001B7C06" w:rsidRDefault="0055522E" w:rsidP="001B7C06">
      <w:pPr>
        <w:spacing w:after="0" w:line="360" w:lineRule="auto"/>
        <w:ind w:left="142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 xml:space="preserve">- </w:t>
      </w:r>
      <w:r w:rsidR="0084374D" w:rsidRPr="001B7C06">
        <w:rPr>
          <w:rFonts w:ascii="Tahoma" w:hAnsi="Tahoma" w:cs="Tahoma"/>
          <w:sz w:val="24"/>
          <w:szCs w:val="24"/>
        </w:rPr>
        <w:t>na podstawie art. 18 RODO prawo żądania od administratora ograniczenia przetwarzania danych osobowych z zastrzeżeniem przypadków, o których mowa w art. 18 ust. 2 RODO (</w:t>
      </w:r>
      <w:r w:rsidR="0084374D" w:rsidRPr="001B7C06">
        <w:rPr>
          <w:rFonts w:ascii="Tahoma" w:hAnsi="Tahoma" w:cs="Tahoma"/>
          <w:i/>
          <w:iCs/>
          <w:sz w:val="24"/>
          <w:szCs w:val="24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="0084374D" w:rsidRPr="001B7C06">
        <w:rPr>
          <w:rFonts w:ascii="Tahoma" w:hAnsi="Tahoma" w:cs="Tahoma"/>
          <w:sz w:val="24"/>
          <w:szCs w:val="24"/>
        </w:rPr>
        <w:t>;</w:t>
      </w:r>
    </w:p>
    <w:p w14:paraId="161D19A3" w14:textId="054E2CF5" w:rsidR="0084374D" w:rsidRPr="001B7C06" w:rsidRDefault="0055522E" w:rsidP="001B7C06">
      <w:pPr>
        <w:spacing w:after="0" w:line="360" w:lineRule="auto"/>
        <w:ind w:left="142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 xml:space="preserve">- </w:t>
      </w:r>
      <w:r w:rsidR="0084374D" w:rsidRPr="001B7C06">
        <w:rPr>
          <w:rFonts w:ascii="Tahoma" w:hAnsi="Tahoma" w:cs="Tahoma"/>
          <w:sz w:val="24"/>
          <w:szCs w:val="24"/>
        </w:rPr>
        <w:t>prawo do wniesienia skargi do Prezesa Urzędu Ochrony Danych Osobowych, gdy uzna Pani/Pan, że przetwarzanie danych osobowych Pani/Pana dotyczących narusza przepisy RODO</w:t>
      </w:r>
    </w:p>
    <w:p w14:paraId="756D3A09" w14:textId="77777777" w:rsidR="0084374D" w:rsidRPr="001B7C06" w:rsidRDefault="0084374D" w:rsidP="001B7C06">
      <w:pPr>
        <w:numPr>
          <w:ilvl w:val="1"/>
          <w:numId w:val="4"/>
        </w:numPr>
        <w:spacing w:after="0" w:line="360" w:lineRule="auto"/>
        <w:ind w:left="142" w:hanging="709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>nie przysługuje Pani/Panu:</w:t>
      </w:r>
    </w:p>
    <w:p w14:paraId="7A585178" w14:textId="081B3DCE" w:rsidR="0084374D" w:rsidRPr="001B7C06" w:rsidRDefault="0055522E" w:rsidP="001B7C06">
      <w:pPr>
        <w:spacing w:after="0" w:line="360" w:lineRule="auto"/>
        <w:ind w:left="142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 xml:space="preserve">- </w:t>
      </w:r>
      <w:r w:rsidR="0084374D" w:rsidRPr="001B7C06">
        <w:rPr>
          <w:rFonts w:ascii="Tahoma" w:hAnsi="Tahoma" w:cs="Tahoma"/>
          <w:sz w:val="24"/>
          <w:szCs w:val="24"/>
        </w:rPr>
        <w:t>w związku z art. 17 ust. 3 lit. b, d lub e RODO prawo do usunięcia danych osobowych;</w:t>
      </w:r>
    </w:p>
    <w:p w14:paraId="293A5F82" w14:textId="6F636DF4" w:rsidR="0084374D" w:rsidRPr="001B7C06" w:rsidRDefault="0055522E" w:rsidP="001B7C06">
      <w:pPr>
        <w:spacing w:after="0" w:line="360" w:lineRule="auto"/>
        <w:ind w:left="142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 xml:space="preserve">- </w:t>
      </w:r>
      <w:r w:rsidR="0084374D" w:rsidRPr="001B7C06">
        <w:rPr>
          <w:rFonts w:ascii="Tahoma" w:hAnsi="Tahoma" w:cs="Tahoma"/>
          <w:sz w:val="24"/>
          <w:szCs w:val="24"/>
        </w:rPr>
        <w:t>prawo do przenoszenia danych osobowych, o którym mowa w art. 20 RODO;</w:t>
      </w:r>
    </w:p>
    <w:p w14:paraId="3F6EBBE5" w14:textId="3C48B623" w:rsidR="0084374D" w:rsidRPr="001B7C06" w:rsidRDefault="0055522E" w:rsidP="001B7C06">
      <w:pPr>
        <w:spacing w:after="0" w:line="360" w:lineRule="auto"/>
        <w:ind w:left="142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 xml:space="preserve">- </w:t>
      </w:r>
      <w:r w:rsidR="0084374D" w:rsidRPr="001B7C06">
        <w:rPr>
          <w:rFonts w:ascii="Tahoma" w:hAnsi="Tahoma" w:cs="Tahoma"/>
          <w:sz w:val="24"/>
          <w:szCs w:val="24"/>
        </w:rPr>
        <w:t>na podstawie art. 21 RODO prawo sprzeciwu, wobec przetwarzania danych osobowych, gdyż podstawą prawną przetwarzania Pani/Pana danych osobowych jest art. 6 ust. 1 lit. c RODO</w:t>
      </w:r>
    </w:p>
    <w:p w14:paraId="3EE7C527" w14:textId="77777777" w:rsidR="009F7F60" w:rsidRPr="001B7C06" w:rsidRDefault="0084374D" w:rsidP="001B7C06">
      <w:pPr>
        <w:numPr>
          <w:ilvl w:val="1"/>
          <w:numId w:val="4"/>
        </w:numPr>
        <w:spacing w:after="0" w:line="360" w:lineRule="auto"/>
        <w:ind w:left="142" w:hanging="709"/>
        <w:rPr>
          <w:rFonts w:ascii="Tahoma" w:hAnsi="Tahoma" w:cs="Tahoma"/>
          <w:bCs/>
          <w:iCs/>
          <w:sz w:val="24"/>
          <w:szCs w:val="24"/>
        </w:rPr>
      </w:pPr>
      <w:r w:rsidRPr="001B7C06">
        <w:rPr>
          <w:rFonts w:ascii="Tahoma" w:hAnsi="Tahoma" w:cs="Tahoma"/>
          <w:bCs/>
          <w:iCs/>
          <w:sz w:val="24"/>
          <w:szCs w:val="24"/>
        </w:rPr>
        <w:t xml:space="preserve">w przypadku dojścia do zawarcia umowy dane osobowe osób fizycznych, w szczególności osób reprezentujących oraz wskazanych do kontaktu, związanych z wykonaniem umowy, pozyskane bezpośrednio lub pośrednio, będą przetwarzane przez Strony umowy w celu i okresie jej realizacji, a także w celach związanych z rozliczaniem umowy, celach archiwalnych oraz ustalenia i dochodzenia </w:t>
      </w:r>
      <w:r w:rsidRPr="001B7C06">
        <w:rPr>
          <w:rFonts w:ascii="Tahoma" w:hAnsi="Tahoma" w:cs="Tahoma"/>
          <w:bCs/>
          <w:iCs/>
          <w:sz w:val="24"/>
          <w:szCs w:val="24"/>
        </w:rPr>
        <w:lastRenderedPageBreak/>
        <w:t xml:space="preserve">ewentualnych roszczeń w okresie przewidzianym przepisami prawa, na podstawie i w związku z realizacją obowiązków nałożonych na administratora danych przez te przepisy. Dane te nie będą przedmiotem sprzedaży i udostępniania podmiotom zewnętrznym, za wyjątkiem przypadków przewidzianych przepisami prawa jak również podmiotom, którym Uniwersytet jest zobligowany udostępnić dane w związku z realizacją </w:t>
      </w:r>
      <w:r w:rsidRPr="001B7C06">
        <w:rPr>
          <w:rFonts w:ascii="Tahoma" w:hAnsi="Tahoma" w:cs="Tahoma"/>
          <w:sz w:val="24"/>
          <w:szCs w:val="24"/>
        </w:rPr>
        <w:t>inwestycji w ramach planu rozwojowego</w:t>
      </w:r>
      <w:r w:rsidRPr="001B7C06">
        <w:rPr>
          <w:rFonts w:ascii="Tahoma" w:hAnsi="Tahoma" w:cs="Tahoma"/>
          <w:bCs/>
          <w:iCs/>
          <w:sz w:val="24"/>
          <w:szCs w:val="24"/>
        </w:rPr>
        <w:t>. Dane nie będą przekazywane do państw trzecich i organizacji międzynarodowych. Mogą one zostać przekazane podmiotom współpracującym w Uniwersytetem w oparciu o umowy powierzenia  zawarte zgodnie z 28 RODO, m.in. w związku ze wsparciem w  zakresie IT, czy obsługą korespondencji. W pozostałym zakresie zasady i sposób postępowania z danymi został opisany powyżej.</w:t>
      </w:r>
    </w:p>
    <w:p w14:paraId="6FABA78A" w14:textId="1776AD6C" w:rsidR="009F7F60" w:rsidRPr="001B7C06" w:rsidRDefault="0084374D" w:rsidP="001B7C06">
      <w:pPr>
        <w:numPr>
          <w:ilvl w:val="1"/>
          <w:numId w:val="4"/>
        </w:numPr>
        <w:spacing w:after="0" w:line="360" w:lineRule="auto"/>
        <w:ind w:left="142" w:hanging="709"/>
        <w:rPr>
          <w:rFonts w:ascii="Tahoma" w:hAnsi="Tahoma" w:cs="Tahoma"/>
          <w:bCs/>
          <w:iCs/>
          <w:sz w:val="24"/>
          <w:szCs w:val="24"/>
        </w:rPr>
      </w:pPr>
      <w:r w:rsidRPr="001B7C06">
        <w:rPr>
          <w:rFonts w:ascii="Tahoma" w:hAnsi="Tahoma" w:cs="Tahoma"/>
          <w:bCs/>
          <w:iCs/>
          <w:sz w:val="24"/>
          <w:szCs w:val="24"/>
        </w:rPr>
        <w:t xml:space="preserve">Zamawiający informuje, że Administratorem danych jest: </w:t>
      </w:r>
    </w:p>
    <w:p w14:paraId="11735CEA" w14:textId="77777777" w:rsidR="009F7F60" w:rsidRPr="001B7C06" w:rsidRDefault="009F7F60" w:rsidP="001B7C06">
      <w:pPr>
        <w:pStyle w:val="Default"/>
        <w:spacing w:line="360" w:lineRule="auto"/>
        <w:ind w:left="142"/>
        <w:rPr>
          <w:rFonts w:ascii="Tahoma" w:eastAsia="Times New Roman" w:hAnsi="Tahoma" w:cs="Tahoma"/>
          <w:bCs/>
          <w:iCs/>
          <w:color w:val="auto"/>
          <w:lang w:eastAsia="pl-PL"/>
        </w:rPr>
      </w:pPr>
      <w:r w:rsidRPr="001B7C06">
        <w:rPr>
          <w:rFonts w:ascii="Tahoma" w:eastAsia="Times New Roman" w:hAnsi="Tahoma" w:cs="Tahoma"/>
          <w:bCs/>
          <w:iCs/>
          <w:color w:val="auto"/>
          <w:lang w:eastAsia="pl-PL"/>
        </w:rPr>
        <w:t>Minister Zdrowia z siedzibą w Warszawie 00-952, ul. Miodowa 15, NIP: 5251918554, REGON: 000287987</w:t>
      </w:r>
    </w:p>
    <w:p w14:paraId="0A0ACF74" w14:textId="77777777" w:rsidR="009F7F60" w:rsidRPr="001B7C06" w:rsidRDefault="00B54F14" w:rsidP="001B7C06">
      <w:pPr>
        <w:pStyle w:val="Default"/>
        <w:numPr>
          <w:ilvl w:val="1"/>
          <w:numId w:val="4"/>
        </w:numPr>
        <w:spacing w:line="360" w:lineRule="auto"/>
        <w:ind w:left="142" w:hanging="709"/>
        <w:rPr>
          <w:rFonts w:ascii="Tahoma" w:eastAsia="Times New Roman" w:hAnsi="Tahoma" w:cs="Tahoma"/>
          <w:bCs/>
          <w:iCs/>
          <w:color w:val="auto"/>
          <w:lang w:eastAsia="pl-PL"/>
        </w:rPr>
      </w:pPr>
      <w:r w:rsidRPr="001B7C06">
        <w:rPr>
          <w:rFonts w:ascii="Tahoma" w:eastAsia="Times New Roman" w:hAnsi="Tahoma" w:cs="Tahoma"/>
          <w:bCs/>
          <w:iCs/>
          <w:color w:val="auto"/>
          <w:lang w:eastAsia="pl-PL"/>
        </w:rPr>
        <w:t>Zamawiający informuje, że wszystkie dostawy/roboty budowlane realizowane w ramach Planu rozwojowego Przedsięwzięcia pn. „Modernizacja i wyposażenie obiektów dydaktycznych w związku z zwiększeniem limitów przyjęć na studia medyczne – Uniwersytet Medyczny w Lublinie” będącego elementem Inwestycji D2.1.1 pn. „Inwestycje związane z modernizacją i doposażeniem obiektów dydaktycznych w związku ze zwiększeniem limitów przyjęć na studia medyczne” realizowanego w ramach Krajowego Planu Odbudowy i Zwiększenia Odporności – komponentu D „Efektywność, dostępność i jakość systemu ochrony zdrowia”  muszą być zgodne z zasadą „nieczynienia poważnych szkód” (DNSH), w rozumieniu art. 17 rozporządzenia (UE) 2020/852 (rozporządzenie w sprawie taksonomii). Wykonawca zobowiązany jest do dostarczenia dokumentów potwierdzających spełnienie zasady DNSH oraz udzielania wyjaśnień w tym zakresie na wezwanie Zamawiającego.</w:t>
      </w:r>
    </w:p>
    <w:p w14:paraId="700FF9E8" w14:textId="77777777" w:rsidR="009F7F60" w:rsidRPr="001B7C06" w:rsidRDefault="00B54F14" w:rsidP="001B7C06">
      <w:pPr>
        <w:pStyle w:val="Default"/>
        <w:numPr>
          <w:ilvl w:val="1"/>
          <w:numId w:val="4"/>
        </w:numPr>
        <w:spacing w:line="360" w:lineRule="auto"/>
        <w:ind w:left="142" w:hanging="709"/>
        <w:rPr>
          <w:rFonts w:ascii="Tahoma" w:eastAsia="Times New Roman" w:hAnsi="Tahoma" w:cs="Tahoma"/>
          <w:bCs/>
          <w:iCs/>
          <w:color w:val="auto"/>
          <w:lang w:eastAsia="pl-PL"/>
        </w:rPr>
      </w:pPr>
      <w:r w:rsidRPr="001B7C06">
        <w:rPr>
          <w:rFonts w:ascii="Tahoma" w:hAnsi="Tahoma" w:cs="Tahoma"/>
          <w:bCs/>
          <w:iCs/>
        </w:rPr>
        <w:t xml:space="preserve">Zamawiający informuje, iż dane kontrahentów i wykonawców zaangażowanych w realizację przedmiotu zamówienia mogą być wykorzystywanie i przetwarzane przez Ministerstwo Zdrowia w systemach Arachne i SKANER. System Arachne jest systemem teleinformatycznym, prowadzonym przez Komisję Europejską, który przez zastosowanie algorytmów przeliczeniowych kalkuluje ryzyko wystąpienia </w:t>
      </w:r>
      <w:r w:rsidRPr="001B7C06">
        <w:rPr>
          <w:rFonts w:ascii="Tahoma" w:hAnsi="Tahoma" w:cs="Tahoma"/>
          <w:bCs/>
          <w:iCs/>
        </w:rPr>
        <w:lastRenderedPageBreak/>
        <w:t xml:space="preserve">nieprawidłowości dotyczącej zapobiegania korupcji, nadużyć finansowych, konfliktu interesów i podwójnego finansowania. Aplikacja Skaner oznacza aplikację połączoną z CST2021 (systemu teleinformatycznego utworzonego i utrzymywanego przez ministra właściwego do spraw rozwoju regionalnego do obsługi w szczególności reform, inwestycji i przedsięwzięć KPO) oraz innymi źródłami danych (m.in. KRS, </w:t>
      </w:r>
      <w:proofErr w:type="spellStart"/>
      <w:r w:rsidRPr="001B7C06">
        <w:rPr>
          <w:rFonts w:ascii="Tahoma" w:hAnsi="Tahoma" w:cs="Tahoma"/>
          <w:bCs/>
          <w:iCs/>
        </w:rPr>
        <w:t>CEiDG</w:t>
      </w:r>
      <w:proofErr w:type="spellEnd"/>
      <w:r w:rsidRPr="001B7C06">
        <w:rPr>
          <w:rFonts w:ascii="Tahoma" w:hAnsi="Tahoma" w:cs="Tahoma"/>
          <w:bCs/>
          <w:iCs/>
        </w:rPr>
        <w:t>, CRBR) umożliwiającą pobieranie z poszczególnych źródeł danych takich jak: dane identyfikacyjne, informacje o podmiotach i osobach powiązanych, listę beneficjentów rzeczywistych, kody PKD, informacje o realizowanych projektach, informacje o zamówieniach."</w:t>
      </w:r>
    </w:p>
    <w:p w14:paraId="540233EC" w14:textId="3225D2AD" w:rsidR="00B54F14" w:rsidRPr="001B7C06" w:rsidRDefault="00B54F14" w:rsidP="001B7C06">
      <w:pPr>
        <w:pStyle w:val="Default"/>
        <w:numPr>
          <w:ilvl w:val="1"/>
          <w:numId w:val="4"/>
        </w:numPr>
        <w:spacing w:line="360" w:lineRule="auto"/>
        <w:ind w:left="142" w:hanging="709"/>
        <w:rPr>
          <w:rFonts w:ascii="Tahoma" w:eastAsia="Times New Roman" w:hAnsi="Tahoma" w:cs="Tahoma"/>
          <w:bCs/>
          <w:iCs/>
          <w:color w:val="auto"/>
          <w:lang w:eastAsia="pl-PL"/>
        </w:rPr>
      </w:pPr>
      <w:r w:rsidRPr="001B7C06">
        <w:rPr>
          <w:rFonts w:ascii="Tahoma" w:eastAsia="Times New Roman" w:hAnsi="Tahoma" w:cs="Tahoma"/>
          <w:bCs/>
          <w:iCs/>
          <w:color w:val="auto"/>
          <w:lang w:eastAsia="pl-PL"/>
        </w:rPr>
        <w:t xml:space="preserve">Zgodnie z Ramową procedurą w zakresie udostępniania gromadzonych i przechowywanych danych dotyczących odbiorców końcowych, wykonawców i podwykonawców oraz ich beneficjentów rzeczywistych w celu umożliwienia KE, OLAF, ETO i EPPO (w stosowanych przypadkach) oraz innym właściwym organom krajowym identyfikację sygnałów ostrzegawczych i potencjalnych nadużyć do celów audytu i kontroli, w celu umożliwienia identyfikacji sygnałów ostrzegawczych i potencjalnych nadużyć do celów audytu i kontroli zapewnia się, że w ramach audytu, na wniosek lub żądanie instytucji audytującej udostępni się instytucjom audytującym KPO (KE, OLAF, ETO) informacje z następujących kategorii, zgodnie z art. 22 ust. 2 lit. d i e rozporządzenia 2021/241: </w:t>
      </w:r>
    </w:p>
    <w:p w14:paraId="603BFFB0" w14:textId="77777777" w:rsidR="0055522E" w:rsidRPr="001B7C06" w:rsidRDefault="00B54F14" w:rsidP="001B7C06">
      <w:pPr>
        <w:pStyle w:val="Default"/>
        <w:spacing w:after="176" w:line="360" w:lineRule="auto"/>
        <w:ind w:left="142"/>
        <w:rPr>
          <w:rFonts w:ascii="Tahoma" w:eastAsia="Times New Roman" w:hAnsi="Tahoma" w:cs="Tahoma"/>
          <w:bCs/>
          <w:iCs/>
          <w:color w:val="auto"/>
          <w:lang w:eastAsia="pl-PL"/>
        </w:rPr>
      </w:pPr>
      <w:r w:rsidRPr="001B7C06">
        <w:rPr>
          <w:rFonts w:ascii="Tahoma" w:eastAsia="Times New Roman" w:hAnsi="Tahoma" w:cs="Tahoma"/>
          <w:bCs/>
          <w:iCs/>
          <w:color w:val="auto"/>
          <w:lang w:eastAsia="pl-PL"/>
        </w:rPr>
        <w:t xml:space="preserve">1) nazwa ostatecznego odbiorcy środków finansowych; </w:t>
      </w:r>
    </w:p>
    <w:p w14:paraId="452F2AB7" w14:textId="7E355CF4" w:rsidR="00B54F14" w:rsidRPr="001B7C06" w:rsidRDefault="00B54F14" w:rsidP="001B7C06">
      <w:pPr>
        <w:pStyle w:val="Default"/>
        <w:spacing w:after="176" w:line="360" w:lineRule="auto"/>
        <w:ind w:left="142"/>
        <w:rPr>
          <w:rFonts w:ascii="Tahoma" w:eastAsia="Times New Roman" w:hAnsi="Tahoma" w:cs="Tahoma"/>
          <w:bCs/>
          <w:iCs/>
          <w:color w:val="auto"/>
          <w:lang w:eastAsia="pl-PL"/>
        </w:rPr>
      </w:pPr>
      <w:r w:rsidRPr="001B7C06">
        <w:rPr>
          <w:rFonts w:ascii="Tahoma" w:eastAsia="Times New Roman" w:hAnsi="Tahoma" w:cs="Tahoma"/>
          <w:bCs/>
          <w:iCs/>
          <w:color w:val="auto"/>
          <w:lang w:eastAsia="pl-PL"/>
        </w:rPr>
        <w:t xml:space="preserve">2) nazwa wykonawcy i podwykonawcy, jeżeli ostateczny odbiorca środków finansowych jest instytucją zamawiającą zgodnie z prawem unijnym lub krajowym dotyczącym zamówień publicznych; </w:t>
      </w:r>
    </w:p>
    <w:p w14:paraId="06843D6B" w14:textId="7B326EC9" w:rsidR="0055522E" w:rsidRPr="001B7C06" w:rsidRDefault="00B54F14" w:rsidP="001B7C06">
      <w:pPr>
        <w:pStyle w:val="Default"/>
        <w:spacing w:line="360" w:lineRule="auto"/>
        <w:ind w:left="142"/>
        <w:rPr>
          <w:rFonts w:ascii="Tahoma" w:eastAsia="Times New Roman" w:hAnsi="Tahoma" w:cs="Tahoma"/>
          <w:bCs/>
          <w:iCs/>
          <w:color w:val="auto"/>
          <w:lang w:eastAsia="pl-PL"/>
        </w:rPr>
      </w:pPr>
      <w:r w:rsidRPr="001B7C06">
        <w:rPr>
          <w:rFonts w:ascii="Tahoma" w:eastAsia="Times New Roman" w:hAnsi="Tahoma" w:cs="Tahoma"/>
          <w:bCs/>
          <w:iCs/>
          <w:color w:val="auto"/>
          <w:lang w:eastAsia="pl-PL"/>
        </w:rPr>
        <w:t>3) imiona, nazwiska i daty urodzenia beneficjentów rzeczywistych podmiotu będącego odbiorcą środków finansowych lub wykonawcą, zgodnie z definicją zawartą w art. 3 pkt 6 dyrektywy Parlamentu Europejskiego i Rady (UE) 2015/849 49;</w:t>
      </w:r>
    </w:p>
    <w:p w14:paraId="58D1021D" w14:textId="77777777" w:rsidR="0055522E" w:rsidRPr="001B7C06" w:rsidRDefault="0055522E" w:rsidP="001B7C06">
      <w:pPr>
        <w:pStyle w:val="Default"/>
        <w:spacing w:line="360" w:lineRule="auto"/>
        <w:ind w:left="142"/>
        <w:rPr>
          <w:rFonts w:ascii="Tahoma" w:eastAsia="Times New Roman" w:hAnsi="Tahoma" w:cs="Tahoma"/>
          <w:bCs/>
          <w:iCs/>
          <w:color w:val="auto"/>
          <w:lang w:eastAsia="pl-PL"/>
        </w:rPr>
      </w:pPr>
    </w:p>
    <w:p w14:paraId="75DF527F" w14:textId="654AFE5B" w:rsidR="00B54F14" w:rsidRPr="001B7C06" w:rsidRDefault="00B54F14" w:rsidP="001B7C06">
      <w:pPr>
        <w:pStyle w:val="Default"/>
        <w:spacing w:line="360" w:lineRule="auto"/>
        <w:ind w:left="142"/>
        <w:rPr>
          <w:rFonts w:ascii="Tahoma" w:eastAsia="Times New Roman" w:hAnsi="Tahoma" w:cs="Tahoma"/>
          <w:bCs/>
          <w:iCs/>
          <w:color w:val="auto"/>
          <w:lang w:eastAsia="pl-PL"/>
        </w:rPr>
      </w:pPr>
      <w:r w:rsidRPr="001B7C06">
        <w:rPr>
          <w:rFonts w:ascii="Tahoma" w:eastAsia="Times New Roman" w:hAnsi="Tahoma" w:cs="Tahoma"/>
          <w:bCs/>
          <w:iCs/>
          <w:color w:val="auto"/>
          <w:lang w:eastAsia="pl-PL"/>
        </w:rPr>
        <w:t xml:space="preserve">4) wykaz działań służących realizacji reform i projektów inwestycyjnych w ramach planu odbudowy i zwiększania odporności wraz z łączną kwotą finansowania </w:t>
      </w:r>
      <w:r w:rsidRPr="001B7C06">
        <w:rPr>
          <w:rFonts w:ascii="Tahoma" w:eastAsia="Times New Roman" w:hAnsi="Tahoma" w:cs="Tahoma"/>
          <w:bCs/>
          <w:iCs/>
          <w:color w:val="auto"/>
          <w:lang w:eastAsia="pl-PL"/>
        </w:rPr>
        <w:lastRenderedPageBreak/>
        <w:t xml:space="preserve">publicznego tych działań, ze wskazaniem kwoty środków finansowych wydatkowanych w ramach Instrumentu i innych funduszy unijnych. </w:t>
      </w:r>
    </w:p>
    <w:p w14:paraId="136CD198" w14:textId="4B4BD1A1" w:rsidR="00B54F14" w:rsidRPr="001B7C06" w:rsidRDefault="00B54F14" w:rsidP="001B7C06">
      <w:pPr>
        <w:pStyle w:val="Akapitzlist"/>
        <w:numPr>
          <w:ilvl w:val="1"/>
          <w:numId w:val="8"/>
        </w:numPr>
        <w:shd w:val="clear" w:color="auto" w:fill="FFFFFF"/>
        <w:spacing w:after="120" w:line="360" w:lineRule="auto"/>
        <w:ind w:left="142" w:hanging="709"/>
        <w:rPr>
          <w:rFonts w:ascii="Tahoma" w:hAnsi="Tahoma" w:cs="Tahoma"/>
          <w:bCs/>
          <w:iCs/>
          <w:sz w:val="24"/>
          <w:szCs w:val="24"/>
        </w:rPr>
      </w:pPr>
      <w:r w:rsidRPr="001B7C06">
        <w:rPr>
          <w:rFonts w:ascii="Tahoma" w:hAnsi="Tahoma" w:cs="Tahoma"/>
          <w:bCs/>
          <w:iCs/>
          <w:sz w:val="24"/>
          <w:szCs w:val="24"/>
        </w:rPr>
        <w:t>Zamawiający informuje, że w przypadku wyboru oferty Wykonawcy będącego podmiotem zagranicznym, Wykonawca ten będzie zobowiązany – przed zawarciem umowy – do przekazania Zamawiającemu informacji o swoich beneficjentach rzeczywistych, zgodnie z definicją zawartą w art. 2 pkt 2 ustawy z dnia 1 marca 2018 r. o przeciwdziałaniu praniu pieniędzy oraz finansowaniu terroryzmu (Dz.U. z 2023 r. poz. 1124 ze zm.). Informacje te powinny zawierać co najmniej: imię i nazwisko beneficjenta rzeczywistego, obywatelstwo, państwo zamieszkania, podstawę prawną uznania danej osoby za beneficjenta rzeczywistego. Wykonawca zobowiązany jest również do niezwłocznego informowania Zamawiającego o każdej zmianie w zakresie wskazanych informacji przez cały okres obowiązywania umowy.</w:t>
      </w:r>
    </w:p>
    <w:p w14:paraId="36B5F437" w14:textId="77777777" w:rsidR="009F7F60" w:rsidRPr="001B7C06" w:rsidRDefault="009F7F60" w:rsidP="001B7C06">
      <w:pPr>
        <w:pStyle w:val="Akapitzlist"/>
        <w:shd w:val="clear" w:color="auto" w:fill="FFFFFF"/>
        <w:spacing w:after="120" w:line="360" w:lineRule="auto"/>
        <w:ind w:left="142" w:hanging="709"/>
        <w:rPr>
          <w:rFonts w:ascii="Tahoma" w:hAnsi="Tahoma" w:cs="Tahoma"/>
          <w:bCs/>
          <w:iCs/>
          <w:sz w:val="24"/>
          <w:szCs w:val="24"/>
        </w:rPr>
      </w:pPr>
    </w:p>
    <w:p w14:paraId="50B166A5" w14:textId="77777777" w:rsidR="00B54F14" w:rsidRPr="001B7C06" w:rsidRDefault="00B54F14" w:rsidP="001B7C06">
      <w:pPr>
        <w:pStyle w:val="Akapitzlist"/>
        <w:spacing w:before="576" w:line="360" w:lineRule="auto"/>
        <w:ind w:left="0"/>
        <w:rPr>
          <w:rFonts w:ascii="Tahoma" w:hAnsi="Tahoma" w:cs="Tahoma"/>
          <w:sz w:val="24"/>
          <w:szCs w:val="24"/>
        </w:rPr>
      </w:pPr>
      <w:r w:rsidRPr="001B7C06">
        <w:rPr>
          <w:rFonts w:ascii="Tahoma" w:hAnsi="Tahoma" w:cs="Tahoma"/>
          <w:sz w:val="24"/>
          <w:szCs w:val="24"/>
        </w:rPr>
        <w:t>W przypadku, gdy wykonanie obowiązku, o którym mowa w art. 15 ust. 1 – 3 RODO, wymagałoby niewspółmiernie dużego wysiłku, Zamawiający może żądać od osoby, której dane dotyczą wskazania dodatkowych informacji mających na celu sprecyzowanie żądania, w szczególności podania daty lub nazwy postępowania o udzielenie zamówienia publicznego. Wystąpienie z żądaniem, o którym mowa w art. 18 ust. 1 RODO nie ogranicza przetwarzania danych osobowych do czasu zakończenia niniejszego postępowania</w:t>
      </w:r>
    </w:p>
    <w:p w14:paraId="4E050D39" w14:textId="77777777" w:rsidR="0055522E" w:rsidRPr="001B7C06" w:rsidRDefault="0055522E" w:rsidP="001B7C06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/>
          <w:lang w:val="pl-PL"/>
        </w:rPr>
      </w:pPr>
    </w:p>
    <w:p w14:paraId="4EB3F101" w14:textId="77777777" w:rsidR="0055522E" w:rsidRPr="001B7C06" w:rsidRDefault="0055522E" w:rsidP="001B7C06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/>
          <w:lang w:val="pl-PL"/>
        </w:rPr>
      </w:pPr>
    </w:p>
    <w:p w14:paraId="46A1373E" w14:textId="32D9202B" w:rsidR="0055522E" w:rsidRPr="001B7C06" w:rsidRDefault="0055522E" w:rsidP="001B7C06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/>
          <w:lang w:val="pl-PL"/>
        </w:rPr>
      </w:pPr>
      <w:r w:rsidRPr="001B7C06">
        <w:rPr>
          <w:rFonts w:ascii="Tahoma" w:hAnsi="Tahoma" w:cs="Tahoma"/>
          <w:b/>
          <w:lang w:val="pl-PL"/>
        </w:rPr>
        <w:t>Podpis:</w:t>
      </w:r>
    </w:p>
    <w:p w14:paraId="31D12176" w14:textId="77777777" w:rsidR="0055522E" w:rsidRPr="001B7C06" w:rsidRDefault="0055522E" w:rsidP="001B7C06">
      <w:pPr>
        <w:pStyle w:val="Tekstpodstawowy2"/>
        <w:tabs>
          <w:tab w:val="left" w:pos="142"/>
        </w:tabs>
        <w:spacing w:before="120" w:line="360" w:lineRule="auto"/>
        <w:ind w:left="426" w:hanging="426"/>
        <w:rPr>
          <w:rFonts w:ascii="Tahoma" w:hAnsi="Tahoma" w:cs="Tahoma"/>
          <w:bCs/>
          <w:lang w:val="pl-PL"/>
        </w:rPr>
      </w:pPr>
      <w:r w:rsidRPr="001B7C06">
        <w:rPr>
          <w:rFonts w:ascii="Tahoma" w:hAnsi="Tahoma" w:cs="Tahoma"/>
          <w:bCs/>
          <w:lang w:val="pl-PL"/>
        </w:rPr>
        <w:t>(Data i podpis osoby uprawnionej )</w:t>
      </w:r>
    </w:p>
    <w:p w14:paraId="40BBAB26" w14:textId="77777777" w:rsidR="000D4C26" w:rsidRPr="000B1A87" w:rsidRDefault="006B06D9" w:rsidP="000B1A87">
      <w:pPr>
        <w:spacing w:before="576" w:line="360" w:lineRule="auto"/>
        <w:rPr>
          <w:rFonts w:ascii="Tahoma" w:hAnsi="Tahoma" w:cs="Tahoma"/>
          <w:sz w:val="24"/>
          <w:szCs w:val="24"/>
        </w:rPr>
      </w:pPr>
    </w:p>
    <w:sectPr w:rsidR="000D4C26" w:rsidRPr="000B1A87" w:rsidSect="006B06D9">
      <w:headerReference w:type="default" r:id="rId12"/>
      <w:footerReference w:type="default" r:id="rId13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52AB65" w14:textId="77777777" w:rsidR="00507128" w:rsidRDefault="00507128" w:rsidP="0055522E">
      <w:pPr>
        <w:spacing w:after="0" w:line="240" w:lineRule="auto"/>
      </w:pPr>
      <w:r>
        <w:separator/>
      </w:r>
    </w:p>
  </w:endnote>
  <w:endnote w:type="continuationSeparator" w:id="0">
    <w:p w14:paraId="1250B145" w14:textId="77777777" w:rsidR="00507128" w:rsidRDefault="00507128" w:rsidP="00555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5329504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0FB24366" w14:textId="0BFA45B0" w:rsidR="000B2B93" w:rsidRPr="00C422DE" w:rsidRDefault="00BF59B4" w:rsidP="000B2B93">
        <w:pPr>
          <w:pStyle w:val="Nagwek"/>
          <w:pBdr>
            <w:top w:val="single" w:sz="4" w:space="1" w:color="auto"/>
          </w:pBdr>
          <w:spacing w:before="120"/>
          <w:rPr>
            <w:rFonts w:ascii="Calibri" w:hAnsi="Calibri" w:cs="Arial"/>
            <w:i/>
            <w:sz w:val="18"/>
            <w:szCs w:val="18"/>
          </w:rPr>
        </w:pPr>
        <w:r w:rsidRPr="00FF5865">
          <w:rPr>
            <w:rFonts w:ascii="Verdana" w:eastAsia="SimSun" w:hAnsi="Verdana" w:cs="Tahoma"/>
            <w:bCs/>
            <w:i/>
            <w:kern w:val="2"/>
            <w:sz w:val="16"/>
            <w:szCs w:val="16"/>
            <w:lang w:eastAsia="hi-IN" w:bidi="hi-IN"/>
          </w:rPr>
          <w:t>DLG-A</w:t>
        </w:r>
        <w:r>
          <w:rPr>
            <w:rFonts w:ascii="Verdana" w:eastAsia="SimSun" w:hAnsi="Verdana" w:cs="Tahoma"/>
            <w:bCs/>
            <w:i/>
            <w:kern w:val="2"/>
            <w:sz w:val="16"/>
            <w:szCs w:val="16"/>
            <w:lang w:eastAsia="hi-IN" w:bidi="hi-IN"/>
          </w:rPr>
          <w:t>/495/2025</w:t>
        </w:r>
        <w:r w:rsidR="000B2B93">
          <w:rPr>
            <w:rFonts w:ascii="Calibri" w:hAnsi="Calibri" w:cs="Arial"/>
            <w:i/>
            <w:sz w:val="18"/>
            <w:szCs w:val="18"/>
          </w:rPr>
          <w:tab/>
          <w:t xml:space="preserve">     </w:t>
        </w:r>
        <w:r w:rsidR="000B2B93" w:rsidRPr="00A71F46">
          <w:rPr>
            <w:rFonts w:ascii="Calibri" w:hAnsi="Calibri" w:cs="Arial"/>
            <w:i/>
            <w:sz w:val="18"/>
            <w:szCs w:val="18"/>
          </w:rPr>
          <w:t xml:space="preserve">  </w:t>
        </w:r>
        <w:r w:rsidR="000B2B93" w:rsidRPr="00A71F46">
          <w:rPr>
            <w:rFonts w:ascii="Calibri" w:hAnsi="Calibri" w:cs="Arial"/>
            <w:i/>
            <w:sz w:val="18"/>
            <w:szCs w:val="18"/>
          </w:rPr>
          <w:tab/>
        </w:r>
        <w:r w:rsidR="000B2B93" w:rsidRPr="00A71F46">
          <w:rPr>
            <w:rStyle w:val="Numerstrony"/>
            <w:rFonts w:ascii="Calibri" w:hAnsi="Calibri" w:cs="Arial"/>
            <w:i/>
            <w:sz w:val="18"/>
            <w:szCs w:val="18"/>
          </w:rPr>
          <w:fldChar w:fldCharType="begin"/>
        </w:r>
        <w:r w:rsidR="000B2B93" w:rsidRPr="00A71F46">
          <w:rPr>
            <w:rStyle w:val="Numerstrony"/>
            <w:rFonts w:ascii="Calibri" w:hAnsi="Calibri" w:cs="Arial"/>
            <w:i/>
            <w:sz w:val="18"/>
            <w:szCs w:val="18"/>
          </w:rPr>
          <w:instrText xml:space="preserve"> PAGE </w:instrText>
        </w:r>
        <w:r w:rsidR="000B2B93" w:rsidRPr="00A71F46">
          <w:rPr>
            <w:rStyle w:val="Numerstrony"/>
            <w:rFonts w:ascii="Calibri" w:hAnsi="Calibri" w:cs="Arial"/>
            <w:i/>
            <w:sz w:val="18"/>
            <w:szCs w:val="18"/>
          </w:rPr>
          <w:fldChar w:fldCharType="separate"/>
        </w:r>
        <w:r w:rsidR="000B2B93">
          <w:rPr>
            <w:rStyle w:val="Numerstrony"/>
            <w:rFonts w:ascii="Calibri" w:hAnsi="Calibri" w:cs="Arial"/>
            <w:i/>
            <w:sz w:val="18"/>
            <w:szCs w:val="18"/>
          </w:rPr>
          <w:t>1</w:t>
        </w:r>
        <w:r w:rsidR="000B2B93" w:rsidRPr="00A71F46">
          <w:rPr>
            <w:rStyle w:val="Numerstrony"/>
            <w:rFonts w:ascii="Calibri" w:hAnsi="Calibri" w:cs="Arial"/>
            <w:i/>
            <w:sz w:val="18"/>
            <w:szCs w:val="18"/>
          </w:rPr>
          <w:fldChar w:fldCharType="end"/>
        </w:r>
        <w:r w:rsidR="000B2B93" w:rsidRPr="00A71F46">
          <w:rPr>
            <w:rStyle w:val="Numerstrony"/>
            <w:rFonts w:ascii="Calibri" w:hAnsi="Calibri" w:cs="Arial"/>
            <w:i/>
            <w:sz w:val="18"/>
            <w:szCs w:val="18"/>
          </w:rPr>
          <w:t>/</w:t>
        </w:r>
        <w:r w:rsidR="000B2B93" w:rsidRPr="00A71F46">
          <w:rPr>
            <w:rStyle w:val="Numerstrony"/>
            <w:rFonts w:ascii="Calibri" w:hAnsi="Calibri" w:cs="Arial"/>
            <w:i/>
            <w:sz w:val="18"/>
            <w:szCs w:val="18"/>
          </w:rPr>
          <w:fldChar w:fldCharType="begin"/>
        </w:r>
        <w:r w:rsidR="000B2B93" w:rsidRPr="00A71F46">
          <w:rPr>
            <w:rStyle w:val="Numerstrony"/>
            <w:rFonts w:ascii="Calibri" w:hAnsi="Calibri" w:cs="Arial"/>
            <w:i/>
            <w:sz w:val="18"/>
            <w:szCs w:val="18"/>
          </w:rPr>
          <w:instrText xml:space="preserve"> NUMPAGES </w:instrText>
        </w:r>
        <w:r w:rsidR="000B2B93" w:rsidRPr="00A71F46">
          <w:rPr>
            <w:rStyle w:val="Numerstrony"/>
            <w:rFonts w:ascii="Calibri" w:hAnsi="Calibri" w:cs="Arial"/>
            <w:i/>
            <w:sz w:val="18"/>
            <w:szCs w:val="18"/>
          </w:rPr>
          <w:fldChar w:fldCharType="separate"/>
        </w:r>
        <w:r w:rsidR="000B2B93">
          <w:rPr>
            <w:rStyle w:val="Numerstrony"/>
            <w:rFonts w:ascii="Calibri" w:hAnsi="Calibri" w:cs="Arial"/>
            <w:i/>
            <w:sz w:val="18"/>
            <w:szCs w:val="18"/>
          </w:rPr>
          <w:t>12</w:t>
        </w:r>
        <w:r w:rsidR="000B2B93" w:rsidRPr="00A71F46">
          <w:rPr>
            <w:rStyle w:val="Numerstrony"/>
            <w:rFonts w:ascii="Calibri" w:hAnsi="Calibri" w:cs="Arial"/>
            <w:i/>
            <w:sz w:val="18"/>
            <w:szCs w:val="18"/>
          </w:rPr>
          <w:fldChar w:fldCharType="end"/>
        </w:r>
      </w:p>
    </w:sdtContent>
  </w:sdt>
  <w:p w14:paraId="5E6F98D3" w14:textId="6DDE9976" w:rsidR="00473B34" w:rsidRPr="000B2B93" w:rsidRDefault="00473B34" w:rsidP="000B2B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99A85" w14:textId="77777777" w:rsidR="00507128" w:rsidRDefault="00507128" w:rsidP="0055522E">
      <w:pPr>
        <w:spacing w:after="0" w:line="240" w:lineRule="auto"/>
      </w:pPr>
      <w:r>
        <w:separator/>
      </w:r>
    </w:p>
  </w:footnote>
  <w:footnote w:type="continuationSeparator" w:id="0">
    <w:p w14:paraId="6415857E" w14:textId="77777777" w:rsidR="00507128" w:rsidRDefault="00507128" w:rsidP="00555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B5961" w14:textId="47BD6B8A" w:rsidR="0055522E" w:rsidRDefault="0055522E">
    <w:pPr>
      <w:pStyle w:val="Nagwek"/>
    </w:pPr>
    <w:r>
      <w:rPr>
        <w:noProof/>
      </w:rPr>
      <w:drawing>
        <wp:inline distT="0" distB="0" distL="0" distR="0" wp14:anchorId="48D35A29" wp14:editId="473BAC8E">
          <wp:extent cx="5760720" cy="572770"/>
          <wp:effectExtent l="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4279388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D1CFA"/>
    <w:multiLevelType w:val="multilevel"/>
    <w:tmpl w:val="8ECE21B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71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54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13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12" w:hanging="2520"/>
      </w:pPr>
      <w:rPr>
        <w:rFonts w:hint="default"/>
      </w:rPr>
    </w:lvl>
  </w:abstractNum>
  <w:abstractNum w:abstractNumId="1" w15:restartNumberingAfterBreak="0">
    <w:nsid w:val="2A610A51"/>
    <w:multiLevelType w:val="hybridMultilevel"/>
    <w:tmpl w:val="3206A0C8"/>
    <w:lvl w:ilvl="0" w:tplc="AAB0B24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907B9"/>
    <w:multiLevelType w:val="multilevel"/>
    <w:tmpl w:val="CEB8EC6E"/>
    <w:lvl w:ilvl="0">
      <w:start w:val="1"/>
      <w:numFmt w:val="decimal"/>
      <w:lvlText w:val="%1."/>
      <w:lvlJc w:val="left"/>
      <w:pPr>
        <w:ind w:left="359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2137" w:hanging="720"/>
      </w:pPr>
    </w:lvl>
    <w:lvl w:ilvl="3">
      <w:start w:val="1"/>
      <w:numFmt w:val="decimal"/>
      <w:lvlText w:val="%1.%2.%3.%4."/>
      <w:lvlJc w:val="left"/>
      <w:pPr>
        <w:ind w:left="2846" w:hanging="720"/>
      </w:pPr>
    </w:lvl>
    <w:lvl w:ilvl="4">
      <w:start w:val="1"/>
      <w:numFmt w:val="decimal"/>
      <w:lvlText w:val="%1.%2.%3.%4.%5."/>
      <w:lvlJc w:val="left"/>
      <w:pPr>
        <w:ind w:left="3915" w:hanging="1080"/>
      </w:pPr>
    </w:lvl>
    <w:lvl w:ilvl="5">
      <w:start w:val="1"/>
      <w:numFmt w:val="decimal"/>
      <w:lvlText w:val="%1.%2.%3.%4.%5.%6."/>
      <w:lvlJc w:val="left"/>
      <w:pPr>
        <w:ind w:left="4624" w:hanging="1080"/>
      </w:pPr>
    </w:lvl>
    <w:lvl w:ilvl="6">
      <w:start w:val="1"/>
      <w:numFmt w:val="decimal"/>
      <w:lvlText w:val="%1.%2.%3.%4.%5.%6.%7."/>
      <w:lvlJc w:val="left"/>
      <w:pPr>
        <w:ind w:left="5693" w:hanging="1440"/>
      </w:pPr>
    </w:lvl>
    <w:lvl w:ilvl="7">
      <w:start w:val="1"/>
      <w:numFmt w:val="decimal"/>
      <w:lvlText w:val="%1.%2.%3.%4.%5.%6.%7.%8."/>
      <w:lvlJc w:val="left"/>
      <w:pPr>
        <w:ind w:left="6402" w:hanging="1440"/>
      </w:pPr>
    </w:lvl>
    <w:lvl w:ilvl="8">
      <w:start w:val="1"/>
      <w:numFmt w:val="decimal"/>
      <w:lvlText w:val="%1.%2.%3.%4.%5.%6.%7.%8.%9."/>
      <w:lvlJc w:val="left"/>
      <w:pPr>
        <w:ind w:left="7471" w:hanging="1800"/>
      </w:pPr>
    </w:lvl>
  </w:abstractNum>
  <w:abstractNum w:abstractNumId="3" w15:restartNumberingAfterBreak="0">
    <w:nsid w:val="547138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5B4C37"/>
    <w:multiLevelType w:val="hybridMultilevel"/>
    <w:tmpl w:val="4976C8FE"/>
    <w:lvl w:ilvl="0" w:tplc="090A028A">
      <w:start w:val="1"/>
      <w:numFmt w:val="bullet"/>
      <w:lvlText w:val="-"/>
      <w:lvlJc w:val="left"/>
      <w:pPr>
        <w:ind w:left="1776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59DD3494"/>
    <w:multiLevelType w:val="hybridMultilevel"/>
    <w:tmpl w:val="62D29C30"/>
    <w:lvl w:ilvl="0" w:tplc="84CABF38">
      <w:start w:val="1"/>
      <w:numFmt w:val="decimal"/>
      <w:lvlText w:val="4.%1."/>
      <w:lvlJc w:val="left"/>
      <w:pPr>
        <w:ind w:left="1211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F75086"/>
    <w:multiLevelType w:val="multilevel"/>
    <w:tmpl w:val="B008B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A95E70"/>
    <w:multiLevelType w:val="multilevel"/>
    <w:tmpl w:val="577465A4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855" w:hanging="49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</w:rPr>
    </w:lvl>
  </w:abstractNum>
  <w:num w:numId="1">
    <w:abstractNumId w:val="1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74D"/>
    <w:rsid w:val="000128D3"/>
    <w:rsid w:val="000460E2"/>
    <w:rsid w:val="00055358"/>
    <w:rsid w:val="00071A5D"/>
    <w:rsid w:val="00073E64"/>
    <w:rsid w:val="000B1A87"/>
    <w:rsid w:val="000B2B93"/>
    <w:rsid w:val="000D327C"/>
    <w:rsid w:val="00105E28"/>
    <w:rsid w:val="001175D7"/>
    <w:rsid w:val="00172BBF"/>
    <w:rsid w:val="001A3040"/>
    <w:rsid w:val="001B7C06"/>
    <w:rsid w:val="00283F41"/>
    <w:rsid w:val="002A0807"/>
    <w:rsid w:val="002A5D4E"/>
    <w:rsid w:val="002B3718"/>
    <w:rsid w:val="003211F7"/>
    <w:rsid w:val="00340757"/>
    <w:rsid w:val="00355120"/>
    <w:rsid w:val="003912F3"/>
    <w:rsid w:val="003F634F"/>
    <w:rsid w:val="00404233"/>
    <w:rsid w:val="0042749D"/>
    <w:rsid w:val="00473B34"/>
    <w:rsid w:val="00484D4A"/>
    <w:rsid w:val="004A68E7"/>
    <w:rsid w:val="004E1CE4"/>
    <w:rsid w:val="00507128"/>
    <w:rsid w:val="00513555"/>
    <w:rsid w:val="00552553"/>
    <w:rsid w:val="0055522E"/>
    <w:rsid w:val="00565724"/>
    <w:rsid w:val="00573861"/>
    <w:rsid w:val="005A1538"/>
    <w:rsid w:val="00610E1F"/>
    <w:rsid w:val="00652614"/>
    <w:rsid w:val="006B06D9"/>
    <w:rsid w:val="006B55DD"/>
    <w:rsid w:val="006B7F6C"/>
    <w:rsid w:val="006D42C6"/>
    <w:rsid w:val="00754F8B"/>
    <w:rsid w:val="00783499"/>
    <w:rsid w:val="007D64DB"/>
    <w:rsid w:val="007F5B5B"/>
    <w:rsid w:val="0084374D"/>
    <w:rsid w:val="00887FC2"/>
    <w:rsid w:val="008E2353"/>
    <w:rsid w:val="008F1E01"/>
    <w:rsid w:val="00902835"/>
    <w:rsid w:val="00921933"/>
    <w:rsid w:val="00921939"/>
    <w:rsid w:val="00932ED2"/>
    <w:rsid w:val="00984D74"/>
    <w:rsid w:val="009A05EB"/>
    <w:rsid w:val="009F7F60"/>
    <w:rsid w:val="00A812F7"/>
    <w:rsid w:val="00A83564"/>
    <w:rsid w:val="00AB4A63"/>
    <w:rsid w:val="00AC1888"/>
    <w:rsid w:val="00B1198C"/>
    <w:rsid w:val="00B14C7F"/>
    <w:rsid w:val="00B54F14"/>
    <w:rsid w:val="00B610CC"/>
    <w:rsid w:val="00B819A8"/>
    <w:rsid w:val="00B85CAE"/>
    <w:rsid w:val="00BA65F1"/>
    <w:rsid w:val="00BA701E"/>
    <w:rsid w:val="00BB7ADE"/>
    <w:rsid w:val="00BF59B4"/>
    <w:rsid w:val="00BF7B79"/>
    <w:rsid w:val="00C21788"/>
    <w:rsid w:val="00C46AB9"/>
    <w:rsid w:val="00CD653A"/>
    <w:rsid w:val="00D25490"/>
    <w:rsid w:val="00D41984"/>
    <w:rsid w:val="00D80512"/>
    <w:rsid w:val="00E6122B"/>
    <w:rsid w:val="00E666F6"/>
    <w:rsid w:val="00E976BC"/>
    <w:rsid w:val="00EA47CE"/>
    <w:rsid w:val="00F17E98"/>
    <w:rsid w:val="00FD4B93"/>
    <w:rsid w:val="00FE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430EF3D"/>
  <w15:chartTrackingRefBased/>
  <w15:docId w15:val="{A246168A-348B-47D8-BADC-17F90953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24"/>
        <w:szCs w:val="22"/>
        <w:lang w:val="pl-PL" w:eastAsia="en-US" w:bidi="ar-SA"/>
      </w:rPr>
    </w:rPrDefault>
    <w:pPrDefault>
      <w:pPr>
        <w:spacing w:before="240" w:after="160" w:line="276" w:lineRule="auto"/>
        <w:ind w:left="567" w:hanging="56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374D"/>
    <w:pPr>
      <w:spacing w:before="0" w:line="256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F5B5B"/>
    <w:pPr>
      <w:keepNext/>
      <w:tabs>
        <w:tab w:val="left" w:leader="dot" w:pos="9072"/>
      </w:tabs>
      <w:spacing w:after="0" w:line="240" w:lineRule="auto"/>
      <w:ind w:left="284"/>
      <w:jc w:val="center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D4B93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D4B93"/>
    <w:pPr>
      <w:keepNext/>
      <w:keepLines/>
      <w:outlineLvl w:val="2"/>
    </w:pPr>
    <w:rPr>
      <w:rFonts w:eastAsiaTheme="majorEastAsia" w:cstheme="majorBidi"/>
      <w:sz w:val="26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EA47CE"/>
    <w:pPr>
      <w:keepNext/>
      <w:keepLines/>
      <w:spacing w:before="40" w:after="0"/>
      <w:outlineLvl w:val="3"/>
    </w:pPr>
    <w:rPr>
      <w:rFonts w:eastAsiaTheme="majorEastAsia" w:cstheme="majorBidi"/>
      <w:b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0D327C"/>
    <w:pPr>
      <w:autoSpaceDN w:val="0"/>
      <w:textAlignment w:val="baseline"/>
    </w:pPr>
    <w:rPr>
      <w:rFonts w:eastAsiaTheme="majorEastAsia" w:cstheme="majorBidi"/>
      <w:color w:val="2E74B5" w:themeColor="accent1" w:themeShade="BF"/>
    </w:rPr>
  </w:style>
  <w:style w:type="character" w:customStyle="1" w:styleId="Styl1Znak">
    <w:name w:val="Styl1 Znak"/>
    <w:basedOn w:val="Domylnaczcionkaakapitu"/>
    <w:link w:val="Styl1"/>
    <w:rsid w:val="000D327C"/>
    <w:rPr>
      <w:rFonts w:ascii="Verdana" w:eastAsiaTheme="majorEastAsia" w:hAnsi="Verdana" w:cstheme="majorBidi"/>
      <w:color w:val="2E74B5" w:themeColor="accent1" w:themeShade="BF"/>
      <w:sz w:val="24"/>
    </w:rPr>
  </w:style>
  <w:style w:type="character" w:styleId="Uwydatnienie">
    <w:name w:val="Emphasis"/>
    <w:basedOn w:val="Domylnaczcionkaakapitu"/>
    <w:uiPriority w:val="20"/>
    <w:rsid w:val="00D80512"/>
    <w:rPr>
      <w:rFonts w:ascii="Verdana" w:hAnsi="Verdana"/>
      <w:b/>
      <w:i w:val="0"/>
      <w:iCs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7F5B5B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FD4B93"/>
    <w:rPr>
      <w:rFonts w:eastAsiaTheme="majorEastAsia" w:cstheme="majorBidi"/>
      <w:sz w:val="26"/>
      <w:szCs w:val="24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BB7ADE"/>
    <w:rPr>
      <w:rFonts w:eastAsiaTheme="majorEastAsia" w:cstheme="majorBidi"/>
      <w:b/>
      <w:spacing w:val="-10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7ADE"/>
    <w:rPr>
      <w:rFonts w:eastAsiaTheme="majorEastAsia" w:cstheme="majorBidi"/>
      <w:b/>
      <w:spacing w:val="-10"/>
      <w:kern w:val="28"/>
      <w:sz w:val="32"/>
      <w:szCs w:val="56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073E64"/>
    <w:pPr>
      <w:numPr>
        <w:ilvl w:val="1"/>
      </w:numPr>
      <w:ind w:left="567" w:hanging="567"/>
    </w:pPr>
    <w:rPr>
      <w:rFonts w:eastAsiaTheme="minorEastAsia"/>
      <w:b/>
      <w:spacing w:val="15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3E64"/>
    <w:rPr>
      <w:rFonts w:eastAsiaTheme="minorEastAsia"/>
      <w:b/>
      <w:spacing w:val="15"/>
      <w:sz w:val="28"/>
    </w:rPr>
  </w:style>
  <w:style w:type="character" w:styleId="Wyrnienieintensywne">
    <w:name w:val="Intense Emphasis"/>
    <w:basedOn w:val="Domylnaczcionkaakapitu"/>
    <w:uiPriority w:val="21"/>
    <w:qFormat/>
    <w:rsid w:val="00FD4B93"/>
    <w:rPr>
      <w:rFonts w:ascii="Verdana" w:hAnsi="Verdana"/>
      <w:b w:val="0"/>
      <w:i w:val="0"/>
      <w:iCs/>
      <w:caps w:val="0"/>
      <w:smallCaps w:val="0"/>
      <w:strike w:val="0"/>
      <w:dstrike w:val="0"/>
      <w:vanish w:val="0"/>
      <w:color w:val="auto"/>
      <w:sz w:val="26"/>
      <w:u w:val="none"/>
      <w:bdr w:val="none" w:sz="0" w:space="0" w:color="auto"/>
      <w:vertAlign w:val="baseline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D4B93"/>
    <w:rPr>
      <w:rFonts w:eastAsiaTheme="majorEastAsia" w:cstheme="majorBidi"/>
      <w:b/>
      <w:sz w:val="28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EA47CE"/>
    <w:rPr>
      <w:rFonts w:eastAsiaTheme="majorEastAsia" w:cstheme="majorBidi"/>
      <w:b/>
      <w:iCs/>
    </w:rPr>
  </w:style>
  <w:style w:type="paragraph" w:styleId="Bezodstpw">
    <w:name w:val="No Spacing"/>
    <w:uiPriority w:val="1"/>
    <w:qFormat/>
    <w:rsid w:val="00D25490"/>
    <w:pPr>
      <w:widowControl w:val="0"/>
      <w:suppressAutoHyphens/>
      <w:autoSpaceDN w:val="0"/>
      <w:textAlignment w:val="baseline"/>
    </w:pPr>
    <w:rPr>
      <w:rFonts w:eastAsia="Calibri" w:cs="F"/>
      <w:kern w:val="3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175D7"/>
    <w:rPr>
      <w:rFonts w:cstheme="majorHAnsi"/>
      <w:bCs/>
      <w:szCs w:val="24"/>
    </w:rPr>
  </w:style>
  <w:style w:type="character" w:styleId="Wyrnieniedelikatne">
    <w:name w:val="Subtle Emphasis"/>
    <w:basedOn w:val="Domylnaczcionkaakapitu"/>
    <w:uiPriority w:val="19"/>
    <w:qFormat/>
    <w:rsid w:val="008E2353"/>
    <w:rPr>
      <w:rFonts w:ascii="Verdana" w:hAnsi="Verdana"/>
      <w:i w:val="0"/>
      <w:iCs/>
      <w:color w:val="auto"/>
      <w:sz w:val="26"/>
    </w:rPr>
  </w:style>
  <w:style w:type="character" w:styleId="Hipercze">
    <w:name w:val="Hyperlink"/>
    <w:basedOn w:val="Domylnaczcionkaakapitu"/>
    <w:uiPriority w:val="99"/>
    <w:unhideWhenUsed/>
    <w:rsid w:val="0084374D"/>
    <w:rPr>
      <w:color w:val="0563C1" w:themeColor="hyperlink"/>
      <w:u w:val="single"/>
    </w:rPr>
  </w:style>
  <w:style w:type="paragraph" w:styleId="Akapitzlist">
    <w:name w:val="List Paragraph"/>
    <w:aliases w:val="L1,Numerowanie,2 heading,A_wyliczenie,K-P_odwolanie,Akapit z listą5,maz_wyliczenie,opis dzialania,Kolorowa lista — akcent 11,T_SZ_List Paragraph,normalny tekst,Akapit z listą BS,CW_Lista,Colorful List Accent 1,List Paragraph,wypunktowanie"/>
    <w:basedOn w:val="Normalny"/>
    <w:link w:val="AkapitzlistZnak"/>
    <w:qFormat/>
    <w:rsid w:val="00B54F14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Kolorowa lista — akcent 11 Znak,T_SZ_List Paragraph Znak,normalny tekst Znak,CW_Lista Znak"/>
    <w:link w:val="Akapitzlist"/>
    <w:qFormat/>
    <w:rsid w:val="00B54F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54F14"/>
    <w:pPr>
      <w:autoSpaceDE w:val="0"/>
      <w:autoSpaceDN w:val="0"/>
      <w:adjustRightInd w:val="0"/>
      <w:spacing w:before="0" w:after="0" w:line="240" w:lineRule="auto"/>
      <w:ind w:left="0" w:firstLine="0"/>
    </w:pPr>
    <w:rPr>
      <w:rFonts w:ascii="Calibri" w:hAnsi="Calibri" w:cs="Calibri"/>
      <w:color w:val="000000"/>
      <w:szCs w:val="24"/>
    </w:rPr>
  </w:style>
  <w:style w:type="paragraph" w:styleId="Nagwek">
    <w:name w:val="header"/>
    <w:basedOn w:val="Normalny"/>
    <w:link w:val="NagwekZnak"/>
    <w:unhideWhenUsed/>
    <w:rsid w:val="00555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2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5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2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5522E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5522E"/>
    <w:rPr>
      <w:rFonts w:ascii="Times New Roman" w:eastAsia="Times New Roman" w:hAnsi="Times New Roman" w:cs="Times New Roman"/>
      <w:szCs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3564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0B2B93"/>
  </w:style>
  <w:style w:type="paragraph" w:styleId="Tekstdymka">
    <w:name w:val="Balloon Text"/>
    <w:basedOn w:val="Normalny"/>
    <w:link w:val="TekstdymkaZnak"/>
    <w:uiPriority w:val="99"/>
    <w:semiHidden/>
    <w:unhideWhenUsed/>
    <w:rsid w:val="00921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193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9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od@umlub.edu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biuro.rektora@umlub.edu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5e63778-44f0-4092-81d0-326072c12d9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94FFCB3215A34FAC4AE991D5CDA674" ma:contentTypeVersion="17" ma:contentTypeDescription="Utwórz nowy dokument." ma:contentTypeScope="" ma:versionID="ab08a8af9e9ca536e8d5b85fd45b4df9">
  <xsd:schema xmlns:xsd="http://www.w3.org/2001/XMLSchema" xmlns:xs="http://www.w3.org/2001/XMLSchema" xmlns:p="http://schemas.microsoft.com/office/2006/metadata/properties" xmlns:ns3="b5e63778-44f0-4092-81d0-326072c12d9d" xmlns:ns4="016fa6c9-9ca9-4884-a61d-2262fd8d08b7" targetNamespace="http://schemas.microsoft.com/office/2006/metadata/properties" ma:root="true" ma:fieldsID="2858ef4d5d0cd667cba5a800d12e813a" ns3:_="" ns4:_="">
    <xsd:import namespace="b5e63778-44f0-4092-81d0-326072c12d9d"/>
    <xsd:import namespace="016fa6c9-9ca9-4884-a61d-2262fd8d08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63778-44f0-4092-81d0-326072c12d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fa6c9-9ca9-4884-a61d-2262fd8d08b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FB7A5A-AF54-4D5F-B1B6-78559ACE18F4}">
  <ds:schemaRefs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b5e63778-44f0-4092-81d0-326072c12d9d"/>
    <ds:schemaRef ds:uri="http://schemas.microsoft.com/office/2006/documentManagement/types"/>
    <ds:schemaRef ds:uri="http://purl.org/dc/terms/"/>
    <ds:schemaRef ds:uri="016fa6c9-9ca9-4884-a61d-2262fd8d08b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D9EA6F1-4A8C-4DAA-A943-C9E6F56F9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e63778-44f0-4092-81d0-326072c12d9d"/>
    <ds:schemaRef ds:uri="016fa6c9-9ca9-4884-a61d-2262fd8d08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8FFB0D-7E00-4926-BD13-53B2F14FC2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1373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Gałkowska</dc:creator>
  <cp:keywords/>
  <dc:description/>
  <cp:lastModifiedBy>Marcin Stolarz</cp:lastModifiedBy>
  <cp:revision>4</cp:revision>
  <cp:lastPrinted>2026-01-29T08:16:00Z</cp:lastPrinted>
  <dcterms:created xsi:type="dcterms:W3CDTF">2026-01-29T07:36:00Z</dcterms:created>
  <dcterms:modified xsi:type="dcterms:W3CDTF">2026-01-29T08:17:00Z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0x0101006594FFCB3215A34FAC4AE991D5CDA674</vt:lpwstr>
  </property>
</Properties>
</file>